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header+xml" PartName="/word/header.xml"/>
  <Override ContentType="image/png" PartName="/word/media/header_image_rId1.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17.0.8.1 on Linux -->
    <w:p>
      <w:pPr>
        <w:spacing w:after="0"/>
        <w:ind w:left="0"/>
        <w:jc w:val="left"/>
        <w:textAlignment w:val="auto"/>
      </w:pPr>
      <w:r>
        <w:rPr>
          <w:rFonts w:ascii="Times New Roman"/>
          <w:b/>
          <w:i w:val="false"/>
          <w:color w:val="000000"/>
          <w:sz w:val="24"/>
          <w:lang w:val="ro-RO"/>
        </w:rPr>
        <w:t>Ordinul 127/2021 pentru aprobarea Regulamentului privind clauzele şi condiţiile pentru furnizorii de servicii de echilibrare şi pentru furnizorii de rezervă de stabilizare a frecvenţei şi a Regulamentului privind clauzele şi condiţiile pentru părţile responsabile cu echilibrarea şi pentru modificarea şi abrogarea unor ordine ale preşedintelui Autorităţii Naţionale de Reglementare în Domeniul Energiei</w:t>
      </w:r>
      <w:r>
        <w:br/>
      </w:r>
      <w:r>
        <w:br/>
      </w:r>
    </w:p>
    <w:p>
      <w:pPr>
        <w:pStyle w:val="NormalStyle"/>
      </w:pPr>
      <w:r>
        <w:t>Ordinul 127/2021 din 2021.12.17</w:t>
      </w:r>
    </w:p>
    <w:p>
      <w:pPr>
        <w:pStyle w:val="NormalStyle"/>
      </w:pPr>
      <w:r>
        <w:t xml:space="preserve">Status: Acte în vigoare </w:t>
      </w:r>
    </w:p>
    <w:p>
      <w:pPr>
        <w:pStyle w:val="NormalStyle"/>
      </w:pPr>
      <w:r>
        <w:t xml:space="preserve">Versiune de la: 1 Iunie 2024 </w:t>
      </w:r>
    </w:p>
    <w:p>
      <w:pPr>
        <w:spacing w:after="0"/>
        <w:ind w:left="0"/>
        <w:jc w:val="left"/>
        <w:textAlignment w:val="auto"/>
      </w:pPr>
      <w:r>
        <w:br/>
      </w:r>
    </w:p>
    <w:p>
      <w:pPr>
        <w:spacing w:after="0"/>
        <w:ind w:left="0"/>
        <w:jc w:val="left"/>
        <w:textAlignment w:val="auto"/>
      </w:pPr>
      <w:r>
        <w:rPr>
          <w:rFonts w:ascii="Times New Roman"/>
          <w:b/>
          <w:i w:val="false"/>
          <w:color w:val="000000"/>
          <w:sz w:val="24"/>
          <w:lang w:val="ro-RO"/>
        </w:rPr>
        <w:t>Intră în vigoare:</w:t>
      </w:r>
    </w:p>
    <w:p>
      <w:pPr>
        <w:spacing w:after="150"/>
        <w:ind w:left="0"/>
        <w:jc w:val="left"/>
        <w:textAlignment w:val="auto"/>
      </w:pPr>
      <w:r>
        <w:rPr>
          <w:rFonts w:ascii="Times New Roman"/>
          <w:b w:val="false"/>
          <w:i w:val="false"/>
          <w:color w:val="000000"/>
          <w:sz w:val="24"/>
          <w:lang w:val="ro-RO"/>
        </w:rPr>
        <w:t>17 Decembrie 2021 An</w:t>
      </w:r>
    </w:p>
    <w:p>
      <w:pPr>
        <w:spacing w:after="0"/>
        <w:ind w:left="0"/>
        <w:jc w:val="left"/>
        <w:textAlignment w:val="auto"/>
      </w:pPr>
    </w:p>
    <w:p>
      <w:pPr>
        <w:numPr>
          <w:ilvl w:val="0"/>
          <w:numId w:val="1"/>
        </w:numPr>
        <w:spacing w:after="0"/>
        <w:ind w:left="0"/>
        <w:jc w:val="left"/>
        <w:textAlignment w:val="auto"/>
      </w:pPr>
    </w:p>
    <w:p>
      <w:pPr>
        <w:spacing w:after="0"/>
        <w:ind w:left="0"/>
        <w:jc w:val="left"/>
        <w:textAlignment w:val="auto"/>
      </w:pPr>
      <w:r>
        <w:br/>
      </w:r>
    </w:p>
    <w:p>
      <w:pPr>
        <w:spacing w:before="146" w:after="0"/>
        <w:ind w:left="0"/>
        <w:jc w:val="center"/>
        <w:textAlignment w:val="auto"/>
      </w:pPr>
      <w:r>
        <w:rPr>
          <w:rFonts w:ascii="Times New Roman"/>
          <w:b/>
          <w:i w:val="false"/>
          <w:color w:val="000000"/>
          <w:sz w:val="24"/>
          <w:lang w:val="ro-RO"/>
        </w:rPr>
        <w:t>Ordinul 127/2021 pentru aprobarea Regulamentului privind clauzele şi condiţiile pentru furnizorii de servicii de echilibrare şi pentru furnizorii de rezervă de stabilizare a frecvenţei şi a Regulamentului privind clauzele şi condiţiile pentru părţile responsabile cu echilibrarea şi pentru modificarea şi abrogarea unor ordine ale preşedintelui Autorităţii Naţionale de Reglementare în Domeniul Energiei</w:t>
      </w:r>
    </w:p>
    <w:p>
      <w:pPr>
        <w:spacing w:before="80" w:after="0"/>
        <w:ind w:left="0"/>
        <w:jc w:val="center"/>
        <w:textAlignment w:val="auto"/>
      </w:pPr>
      <w:r>
        <w:rPr>
          <w:rFonts w:ascii="Times New Roman"/>
          <w:b w:val="false"/>
          <w:i w:val="false"/>
          <w:color w:val="000000"/>
          <w:sz w:val="24"/>
          <w:lang w:val="ro-RO"/>
        </w:rPr>
        <w:t>Dată act: 8-dec-2021</w:t>
      </w:r>
    </w:p>
    <w:p>
      <w:pPr>
        <w:spacing w:after="0"/>
        <w:ind w:left="0"/>
        <w:jc w:val="center"/>
        <w:textAlignment w:val="auto"/>
      </w:pPr>
      <w:r>
        <w:rPr>
          <w:rFonts w:ascii="Times New Roman"/>
          <w:b/>
          <w:i w:val="false"/>
          <w:color w:val="000000"/>
          <w:sz w:val="24"/>
          <w:lang w:val="ro-RO"/>
        </w:rPr>
        <w:t>Emitent: Autoritatea Nationala de Reglementare in Domeniul Energiei</w:t>
      </w:r>
    </w:p>
    <w:p>
      <w:pPr>
        <w:spacing w:before="80" w:after="240"/>
        <w:ind w:left="0"/>
        <w:jc w:val="center"/>
        <w:textAlignment w:val="auto"/>
      </w:pPr>
    </w:p>
    <w:p>
      <w:pPr>
        <w:spacing w:before="26" w:after="240"/>
        <w:ind w:left="0"/>
        <w:jc w:val="left"/>
        <w:textAlignment w:val="auto"/>
      </w:pPr>
      <w:r>
        <w:rPr>
          <w:rFonts w:ascii="Times New Roman"/>
          <w:b w:val="false"/>
          <w:i w:val="false"/>
          <w:color w:val="000000"/>
          <w:sz w:val="24"/>
          <w:lang w:val="ro-RO"/>
        </w:rPr>
        <w:t>_________</w:t>
      </w:r>
    </w:p>
    <w:p>
      <w:pPr>
        <w:spacing w:before="26" w:after="240"/>
        <w:ind w:left="0"/>
        <w:jc w:val="left"/>
        <w:textAlignment w:val="auto"/>
      </w:pPr>
      <w:r>
        <w:rPr>
          <w:rFonts w:ascii="Times New Roman"/>
          <w:b w:val="false"/>
          <w:i w:val="false"/>
          <w:color w:val="000000"/>
          <w:sz w:val="24"/>
          <w:lang w:val="ro-RO"/>
        </w:rPr>
        <w:t>*) ATENŢIE! Potrivit art. 7, prezentul ordin intră în vigoare la data publicării şi se aplică de la 1 octombrie 2023, cu excepţia art. 3 şi 4, care se aplică de la data intrării în vigoare.</w:t>
      </w:r>
    </w:p>
    <w:p>
      <w:pPr>
        <w:spacing w:before="26" w:after="240"/>
        <w:ind w:left="0"/>
        <w:jc w:val="left"/>
        <w:textAlignment w:val="auto"/>
      </w:pPr>
      <w:r>
        <w:rPr>
          <w:rFonts w:ascii="Times New Roman"/>
          <w:b w:val="false"/>
          <w:i w:val="false"/>
          <w:color w:val="000000"/>
          <w:sz w:val="24"/>
          <w:lang w:val="ro-RO"/>
        </w:rPr>
        <w:t xml:space="preserve">Având în vedere prevederile art. 5 alin. (4) lit. c), ale art. 16, ale art. 17 alin. (1) şi ale art. 18 din Regulamentul (UE) </w:t>
      </w:r>
      <w:r>
        <w:rPr>
          <w:rFonts w:ascii="Times New Roman"/>
          <w:b w:val="false"/>
          <w:i w:val="false"/>
          <w:color w:val="1b1b1b"/>
          <w:sz w:val="24"/>
          <w:lang w:val="ro-RO"/>
        </w:rPr>
        <w:t>2017/2.195</w:t>
      </w:r>
      <w:r>
        <w:rPr>
          <w:rFonts w:ascii="Times New Roman"/>
          <w:b w:val="false"/>
          <w:i w:val="false"/>
          <w:color w:val="000000"/>
          <w:sz w:val="24"/>
          <w:lang w:val="ro-RO"/>
        </w:rPr>
        <w:t xml:space="preserve"> al Comisiei din 23 noiembrie 2017 de stabilire a unei linii directoare privind echilibrarea sistemului de energie electrică, precum şi ale art. 6 alin. (4) lit. f) şi g), ale art. 154 alin (4), ale art. 158 şi ale art. 159 din Regulamentul (UE) </w:t>
      </w:r>
      <w:r>
        <w:rPr>
          <w:rFonts w:ascii="Times New Roman"/>
          <w:b w:val="false"/>
          <w:i w:val="false"/>
          <w:color w:val="1b1b1b"/>
          <w:sz w:val="24"/>
          <w:lang w:val="ro-RO"/>
        </w:rPr>
        <w:t>2017/1.485</w:t>
      </w:r>
      <w:r>
        <w:rPr>
          <w:rFonts w:ascii="Times New Roman"/>
          <w:b w:val="false"/>
          <w:i w:val="false"/>
          <w:color w:val="000000"/>
          <w:sz w:val="24"/>
          <w:lang w:val="ro-RO"/>
        </w:rPr>
        <w:t xml:space="preserve"> al Comisiei din 2 august 2017 de stabilire a unei linii directoare privind operarea sistemului de transport al energiei electrice,</w:t>
      </w:r>
    </w:p>
    <w:p>
      <w:pPr>
        <w:spacing w:before="26" w:after="240"/>
        <w:ind w:left="0"/>
        <w:jc w:val="left"/>
        <w:textAlignment w:val="auto"/>
      </w:pPr>
      <w:r>
        <w:rPr>
          <w:rFonts w:ascii="Times New Roman"/>
          <w:b w:val="false"/>
          <w:i w:val="false"/>
          <w:color w:val="000000"/>
          <w:sz w:val="24"/>
          <w:lang w:val="ro-RO"/>
        </w:rPr>
        <w:t xml:space="preserve">În temeiul dispoziţiilor art. 5 alin. (1) lit. c) şi ale art. 9 alin. (1) lit. h) din Ordonanţa de urgenţă a Guvernului nr. </w:t>
      </w:r>
      <w:r>
        <w:rPr>
          <w:rFonts w:ascii="Times New Roman"/>
          <w:b w:val="false"/>
          <w:i w:val="false"/>
          <w:color w:val="1b1b1b"/>
          <w:sz w:val="24"/>
          <w:lang w:val="ro-RO"/>
        </w:rPr>
        <w:t>33/2007</w:t>
      </w:r>
      <w:r>
        <w:rPr>
          <w:rFonts w:ascii="Times New Roman"/>
          <w:b w:val="false"/>
          <w:i w:val="false"/>
          <w:color w:val="000000"/>
          <w:sz w:val="24"/>
          <w:lang w:val="ro-RO"/>
        </w:rPr>
        <w:t xml:space="preserve"> privind organizarea şi funcţionarea Autorităţii Naţionale de Reglementare în Domeniul Energiei, aprobată cu modificări şi completări prin Legea nr. </w:t>
      </w:r>
      <w:r>
        <w:rPr>
          <w:rFonts w:ascii="Times New Roman"/>
          <w:b w:val="false"/>
          <w:i w:val="false"/>
          <w:color w:val="1b1b1b"/>
          <w:sz w:val="24"/>
          <w:lang w:val="ro-RO"/>
        </w:rPr>
        <w:t>160/2012</w:t>
      </w:r>
      <w:r>
        <w:rPr>
          <w:rFonts w:ascii="Times New Roman"/>
          <w:b w:val="false"/>
          <w:i w:val="false"/>
          <w:color w:val="000000"/>
          <w:sz w:val="24"/>
          <w:lang w:val="ro-RO"/>
        </w:rPr>
        <w:t>, cu modificările şi completările ulterioare,</w:t>
      </w:r>
    </w:p>
    <w:p>
      <w:pPr>
        <w:spacing w:before="26" w:after="240"/>
        <w:ind w:left="0"/>
        <w:jc w:val="left"/>
        <w:textAlignment w:val="auto"/>
      </w:pPr>
      <w:r>
        <w:rPr>
          <w:rFonts w:ascii="Times New Roman"/>
          <w:b/>
          <w:i w:val="false"/>
          <w:color w:val="000000"/>
          <w:sz w:val="24"/>
          <w:lang w:val="ro-RO"/>
        </w:rPr>
        <w:t>preşedintele Autorităţii Naţionale de Reglementare în Domeniul Energiei</w:t>
      </w:r>
      <w:r>
        <w:rPr>
          <w:rFonts w:ascii="Times New Roman"/>
          <w:b w:val="false"/>
          <w:i w:val="false"/>
          <w:color w:val="000000"/>
          <w:sz w:val="24"/>
          <w:lang w:val="ro-RO"/>
        </w:rPr>
        <w:t xml:space="preserve"> emite următorul ordin: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 </w:t>
      </w:r>
    </w:p>
    <w:p>
      <w:pPr>
        <w:spacing w:after="0"/>
        <w:ind w:left="0"/>
        <w:jc w:val="left"/>
        <w:textAlignment w:val="auto"/>
      </w:pPr>
      <w:r>
        <w:rPr>
          <w:rFonts w:ascii="Times New Roman"/>
          <w:b w:val="false"/>
          <w:i w:val="false"/>
          <w:color w:val="000000"/>
          <w:sz w:val="24"/>
          <w:lang w:val="ro-RO"/>
        </w:rPr>
        <w:t xml:space="preserve">Se aprobă </w:t>
      </w:r>
      <w:r>
        <w:rPr>
          <w:rFonts w:ascii="Times New Roman"/>
          <w:b w:val="false"/>
          <w:i w:val="false"/>
          <w:color w:val="1b1b1b"/>
          <w:sz w:val="24"/>
          <w:lang w:val="ro-RO"/>
        </w:rPr>
        <w:t>Regulamentul privind clauzele şi condiţiile pentru furnizorii de servicii de echilibrare şi pentru furnizorii de rezervă de stabilizare a frecvenţei</w:t>
      </w:r>
      <w:r>
        <w:rPr>
          <w:rFonts w:ascii="Times New Roman"/>
          <w:b w:val="false"/>
          <w:i w:val="false"/>
          <w:color w:val="000000"/>
          <w:sz w:val="24"/>
          <w:lang w:val="ro-RO"/>
        </w:rPr>
        <w:t>, prevăzut în anexa nr. 1 care face parte integrantă din prezentul ordin.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 </w:t>
      </w:r>
    </w:p>
    <w:p>
      <w:pPr>
        <w:spacing w:after="0"/>
        <w:ind w:left="0"/>
        <w:jc w:val="left"/>
        <w:textAlignment w:val="auto"/>
      </w:pPr>
      <w:r>
        <w:rPr>
          <w:rFonts w:ascii="Times New Roman"/>
          <w:b w:val="false"/>
          <w:i w:val="false"/>
          <w:color w:val="000000"/>
          <w:sz w:val="24"/>
          <w:lang w:val="ro-RO"/>
        </w:rPr>
        <w:t xml:space="preserve">Se aprobă </w:t>
      </w:r>
      <w:r>
        <w:rPr>
          <w:rFonts w:ascii="Times New Roman"/>
          <w:b w:val="false"/>
          <w:i w:val="false"/>
          <w:color w:val="1b1b1b"/>
          <w:sz w:val="24"/>
          <w:lang w:val="ro-RO"/>
        </w:rPr>
        <w:t>Regulamentul privind clauzele şi condiţiile pentru părţile responsabile cu echilibrarea</w:t>
      </w:r>
      <w:r>
        <w:rPr>
          <w:rFonts w:ascii="Times New Roman"/>
          <w:b w:val="false"/>
          <w:i w:val="false"/>
          <w:color w:val="000000"/>
          <w:sz w:val="24"/>
          <w:lang w:val="ro-RO"/>
        </w:rPr>
        <w:t>, prevăzut în anexa nr. 2 care face parte integrantă din prezentul ordin.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Pentru perioada 1 mai 2023-1 septembrie 2023, operatorul de decontare a dezechilibrelor părţilor responsabile cu echilibrarea face lunar, începând cu luna mai 2023, simulări pentru calculul de decontare a dezechilibrelor părţilor responsabile cu echilibrarea rezultate în urma aplicării prevederilor regulamentului prevăzut la art. 2.</w:t>
      </w:r>
      <w:r>
        <w:br/>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Pentru perioada prevăzută la alin. (1), informaţiile aferente preţurilor finale unice de dezechilibru, preţurilor finale de deficit şi de excedent, dezechilibrelor valorice pentru fiecare interval de decontare ale părţilor responsabile cu echilibrarea şi veniturilor/costurilor suplimentare provenite din echilibrarea sistemului calculate conform prevederilor regulamentului prevăzut la art. 2 se transmit de operatorul de decontare a dezechilibrelor părţilor responsabile cu echilibrarea către Autoritatea Naţională de Reglementare în Domeniul Energiei şi către operatorul de transport şi de sistem, iar părţilor responsabile cu echilibrarea informaţiile cu privire la propria decontare, pe e-mail, până la sfârşitul lunii calendaristice care urmează lunii de livrare.</w:t>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 xml:space="preserve">La aplicarea prevederilor art. 168 alin. (1) din Regulamentul de calcul şi de decontare a dezechilibrelor părţilor responsabile cu echilibrarea - preţ unic de dezechilibru, aprobat prin Ordinul preşedintelui Autorităţii Naţionale de Reglementare în Domeniul Energiei nr. </w:t>
      </w:r>
      <w:r>
        <w:rPr>
          <w:rFonts w:ascii="Times New Roman"/>
          <w:b w:val="false"/>
          <w:i w:val="false"/>
          <w:color w:val="1b1b1b"/>
          <w:sz w:val="24"/>
          <w:lang w:val="ro-RO"/>
        </w:rPr>
        <w:t>213/2020</w:t>
      </w:r>
      <w:r>
        <w:rPr>
          <w:rFonts w:ascii="Times New Roman"/>
          <w:b w:val="false"/>
          <w:i w:val="false"/>
          <w:color w:val="000000"/>
          <w:sz w:val="24"/>
          <w:lang w:val="ro-RO"/>
        </w:rPr>
        <w:t>, publicat în Monitorul Oficial al României, Partea I nr. 1201 şi 1201 bis din 9 decembrie 2020, cu modificările şi completările ulterioare, ODDPRE verifică închiderea bilanţului energiei electrice, corespunzătoare tranzacţiilor definitive pe PE, cu dezechilibrele PRE, cu volumul schimburilor neintenţionate, cu volumul schimburilor planificate de energie ca urmare a compensării dezechilibrelor stabilit pe platforma europeană dedicată, cu volumul schimburilor planificate de energie ca urmare a stabilizării frecvenţei, cu volumul schimburilor planificate de energie ca urmare a perioadei de variaţie a soldului, transmise de OTS către ODDPRE, ţinând seama inclusiv de cantităţile de energie electrică livrată de capacităţile de producere/instalaţiile de stocare a energiei electrice aflate în perioada de probe.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 </w:t>
      </w:r>
    </w:p>
    <w:p>
      <w:pPr>
        <w:spacing w:after="0"/>
        <w:ind w:left="0"/>
        <w:jc w:val="left"/>
        <w:textAlignment w:val="auto"/>
      </w:pPr>
      <w:r>
        <w:rPr>
          <w:rFonts w:ascii="Times New Roman"/>
          <w:b w:val="false"/>
          <w:i w:val="false"/>
          <w:color w:val="000000"/>
          <w:sz w:val="24"/>
          <w:lang w:val="ro-RO"/>
        </w:rPr>
        <w:t xml:space="preserve">Procedura de calificare tehnică pentru furnizarea serviciilor de sistem, aprobată prin Ordinul preşedintelui Autorităţii Naţionale de Reglementare în Domeniul Energiei nr. </w:t>
      </w:r>
      <w:r>
        <w:rPr>
          <w:rFonts w:ascii="Times New Roman"/>
          <w:b w:val="false"/>
          <w:i w:val="false"/>
          <w:color w:val="1b1b1b"/>
          <w:sz w:val="24"/>
          <w:lang w:val="ro-RO"/>
        </w:rPr>
        <w:t>89/2021</w:t>
      </w:r>
      <w:r>
        <w:rPr>
          <w:rFonts w:ascii="Times New Roman"/>
          <w:b w:val="false"/>
          <w:i w:val="false"/>
          <w:color w:val="000000"/>
          <w:sz w:val="24"/>
          <w:lang w:val="ro-RO"/>
        </w:rPr>
        <w:t>, publicat în Monitorul Oficial al României, Partea I, nr. 716 şi 716 bis din 21 iulie 2021, se modifică după cum urmează:</w:t>
      </w:r>
    </w:p>
    <w:p>
      <w:pPr>
        <w:spacing w:before="26" w:after="0"/>
        <w:ind w:left="373"/>
        <w:jc w:val="left"/>
        <w:textAlignment w:val="auto"/>
      </w:pPr>
      <w:r>
        <w:rPr>
          <w:rFonts w:ascii="Times New Roman"/>
          <w:b w:val="false"/>
          <w:i w:val="false"/>
          <w:color w:val="000000"/>
          <w:sz w:val="24"/>
          <w:lang w:val="ro-RO"/>
        </w:rPr>
        <w:t>1.</w:t>
      </w:r>
      <w:r>
        <w:rPr>
          <w:rFonts w:ascii="Times New Roman"/>
          <w:b/>
          <w:i w:val="false"/>
          <w:color w:val="000000"/>
          <w:sz w:val="24"/>
          <w:lang w:val="ro-RO"/>
        </w:rPr>
        <w:t>Articolul 9 se modifică şi va avea următorul cuprins:</w:t>
      </w:r>
    </w:p>
    <w:p>
      <w:pPr>
        <w:spacing w:before="26" w:after="0"/>
        <w:ind w:left="373"/>
        <w:jc w:val="left"/>
        <w:textAlignment w:val="auto"/>
      </w:pPr>
      <w:r>
        <w:rPr>
          <w:rFonts w:ascii="Times New Roman"/>
          <w:b w:val="false"/>
          <w:i w:val="false"/>
          <w:color w:val="000000"/>
          <w:sz w:val="24"/>
          <w:lang w:val="ro-RO"/>
        </w:rPr>
        <w:t>"Art. 9</w:t>
      </w:r>
    </w:p>
    <w:p>
      <w:pPr>
        <w:spacing w:before="26" w:after="0"/>
        <w:ind w:left="373"/>
        <w:jc w:val="left"/>
        <w:textAlignment w:val="auto"/>
      </w:pPr>
      <w:r>
        <w:rPr>
          <w:rFonts w:ascii="Times New Roman"/>
          <w:b w:val="false"/>
          <w:i w:val="false"/>
          <w:color w:val="000000"/>
          <w:sz w:val="24"/>
          <w:lang w:val="ro-RO"/>
        </w:rPr>
        <w:t>Pentru a asigura siguranţa în funcţionare a SEN, OTS are dreptul de a exclude unităţi generatoare, locuri de consum cu consum comandabil, instalaţii de stocare care aparţin unui GFR de la procesul de calificare tehnică pentru furnizarea de RSF sau pentru una sau mai multe rezerve de echilibrare pe baza unor argumente tehnice, cum ar fi distribuţia geografică a entităţilor componente GFR."</w:t>
      </w:r>
    </w:p>
    <w:p>
      <w:pPr>
        <w:spacing w:before="26" w:after="0"/>
        <w:ind w:left="373"/>
        <w:jc w:val="left"/>
        <w:textAlignment w:val="auto"/>
      </w:pPr>
      <w:r>
        <w:rPr>
          <w:rFonts w:ascii="Times New Roman"/>
          <w:b w:val="false"/>
          <w:i w:val="false"/>
          <w:color w:val="000000"/>
          <w:sz w:val="24"/>
          <w:lang w:val="ro-RO"/>
        </w:rPr>
        <w:t>2.</w:t>
      </w:r>
      <w:r>
        <w:rPr>
          <w:rFonts w:ascii="Times New Roman"/>
          <w:b/>
          <w:i w:val="false"/>
          <w:color w:val="000000"/>
          <w:sz w:val="24"/>
          <w:lang w:val="ro-RO"/>
        </w:rPr>
        <w:t>La articolul 33, litera a) şi valoarea parametrului "Valoarea maximă a RRFa" din tabelul nr. 1 - Parametrii standard caracteristici şi valorile lor pentru RRFa se modifică şi vor avea următorul cuprins:</w:t>
      </w:r>
    </w:p>
    <w:p>
      <w:pPr>
        <w:spacing w:before="26" w:after="0"/>
        <w:ind w:left="373"/>
        <w:jc w:val="left"/>
        <w:textAlignment w:val="auto"/>
      </w:pPr>
      <w:r>
        <w:rPr>
          <w:rFonts w:ascii="Times New Roman"/>
          <w:b w:val="false"/>
          <w:i w:val="false"/>
          <w:color w:val="000000"/>
          <w:sz w:val="24"/>
          <w:lang w:val="ro-RO"/>
        </w:rPr>
        <w:t>"a) activarea RRFa la comanda regulatorului central frecvenţă - putere este prezentată în figura nr. 2;</w:t>
      </w:r>
    </w:p>
    <w:p>
      <w:pPr>
        <w:spacing w:before="26" w:after="0"/>
        <w:ind w:left="373"/>
        <w:jc w:val="left"/>
        <w:textAlignment w:val="auto"/>
      </w:pPr>
      <w:r>
        <w:rPr>
          <w:rFonts w:ascii="Times New Roman"/>
          <w:b w:val="false"/>
          <w:i w:val="false"/>
          <w:color w:val="000000"/>
          <w:sz w:val="24"/>
          <w:lang w:val="ro-RO"/>
        </w:rPr>
        <w:t>...............................................................................................</w:t>
      </w:r>
    </w:p>
    <w:p>
      <w:pPr>
        <w:spacing w:before="26" w:after="0"/>
        <w:ind w:left="373"/>
        <w:jc w:val="left"/>
        <w:textAlignment w:val="auto"/>
      </w:pPr>
      <w:r>
        <w:rPr>
          <w:rFonts w:ascii="Times New Roman"/>
          <w:b w:val="false"/>
          <w:i w:val="false"/>
          <w:color w:val="000000"/>
          <w:sz w:val="24"/>
          <w:lang w:val="ro-RO"/>
        </w:rPr>
        <w:t>...............................................................................................</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234"/>
        <w:gridCol w:w="3234"/>
      </w:tblGrid>
      <w:tr>
        <w:trPr>
          <w:trHeight w:val="45" w:hRule="atLeast"/>
        </w:trPr>
        <w:tc>
          <w:tcPr>
            <w:tcW w:w="323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Valoarea maximă a RRFa</w:t>
            </w:r>
          </w:p>
        </w:tc>
        <w:tc>
          <w:tcPr>
            <w:tcW w:w="323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9999 MW</w:t>
            </w:r>
          </w:p>
        </w:tc>
      </w:tr>
    </w:tbl>
    <w:p>
      <w:pPr>
        <w:spacing w:before="26" w:after="0"/>
        <w:ind w:left="373"/>
        <w:jc w:val="left"/>
        <w:textAlignment w:val="auto"/>
      </w:pPr>
      <w:r>
        <w:rPr>
          <w:rFonts w:ascii="Times New Roman"/>
          <w:b w:val="false"/>
          <w:i w:val="false"/>
          <w:color w:val="000000"/>
          <w:sz w:val="24"/>
          <w:lang w:val="ro-RO"/>
        </w:rPr>
        <w:t>"</w:t>
      </w:r>
    </w:p>
    <w:p>
      <w:pPr>
        <w:spacing w:before="26" w:after="0"/>
        <w:ind w:left="373"/>
        <w:jc w:val="left"/>
        <w:textAlignment w:val="auto"/>
      </w:pPr>
      <w:r>
        <w:rPr>
          <w:rFonts w:ascii="Times New Roman"/>
          <w:b w:val="false"/>
          <w:i w:val="false"/>
          <w:color w:val="000000"/>
          <w:sz w:val="24"/>
          <w:lang w:val="ro-RO"/>
        </w:rPr>
        <w:t>3.</w:t>
      </w:r>
      <w:r>
        <w:rPr>
          <w:rFonts w:ascii="Times New Roman"/>
          <w:b/>
          <w:i w:val="false"/>
          <w:color w:val="000000"/>
          <w:sz w:val="24"/>
          <w:lang w:val="ro-RO"/>
        </w:rPr>
        <w:t>La articolul 38, litera a), partea introductivă, explicaţia figurii nr. 3 şi tabelul nr. 2, precum şi litera d) se modifică şi vor avea următorul cuprins:</w:t>
      </w:r>
    </w:p>
    <w:p>
      <w:pPr>
        <w:spacing w:before="26" w:after="0"/>
        <w:ind w:left="373"/>
        <w:jc w:val="left"/>
        <w:textAlignment w:val="auto"/>
      </w:pPr>
      <w:r>
        <w:rPr>
          <w:rFonts w:ascii="Times New Roman"/>
          <w:b w:val="false"/>
          <w:i w:val="false"/>
          <w:color w:val="000000"/>
          <w:sz w:val="24"/>
          <w:lang w:val="ro-RO"/>
        </w:rPr>
        <w:t>"a) activarea RRFm este prezentată în figura nr. 3,</w:t>
      </w:r>
    </w:p>
    <w:p>
      <w:pPr>
        <w:spacing w:before="26" w:after="0"/>
        <w:ind w:left="373"/>
        <w:jc w:val="left"/>
        <w:textAlignment w:val="auto"/>
      </w:pPr>
      <w:r>
        <w:rPr>
          <w:rFonts w:ascii="Times New Roman"/>
          <w:b w:val="false"/>
          <w:i w:val="false"/>
          <w:color w:val="000000"/>
          <w:sz w:val="24"/>
          <w:lang w:val="ro-RO"/>
        </w:rPr>
        <w:t>în care:</w:t>
      </w:r>
    </w:p>
    <w:p>
      <w:pPr>
        <w:spacing w:before="26" w:after="0"/>
        <w:ind w:left="373"/>
        <w:jc w:val="left"/>
        <w:textAlignment w:val="auto"/>
      </w:pPr>
      <w:r>
        <w:rPr>
          <w:rFonts w:ascii="Times New Roman"/>
          <w:b w:val="false"/>
          <w:i w:val="false"/>
          <w:color w:val="000000"/>
          <w:sz w:val="24"/>
          <w:lang w:val="ro-RO"/>
        </w:rPr>
        <w:t>-- Pmax - puterea activă maximă, după caz, reprezintă:</w:t>
      </w:r>
    </w:p>
    <w:p>
      <w:pPr>
        <w:spacing w:before="26" w:after="0"/>
        <w:ind w:left="373"/>
        <w:jc w:val="left"/>
        <w:textAlignment w:val="auto"/>
      </w:pPr>
      <w:r>
        <w:rPr>
          <w:rFonts w:ascii="Times New Roman"/>
          <w:b w:val="false"/>
          <w:i w:val="false"/>
          <w:color w:val="000000"/>
          <w:sz w:val="24"/>
          <w:lang w:val="ro-RO"/>
        </w:rPr>
        <w:t>- puterea activă instalată specificată în CfR sau ATR a unităţii generatoare, a locului de consum cu consum comandabil, a instalaţiei de stocare când UFR este formată dintr-o/dintr-un singură/singur unitate generatoare/loc de consum cu consum comandabil/instalaţie de stocare;</w:t>
      </w:r>
    </w:p>
    <w:p>
      <w:pPr>
        <w:spacing w:before="26" w:after="0"/>
        <w:ind w:left="373"/>
        <w:jc w:val="left"/>
        <w:textAlignment w:val="auto"/>
      </w:pPr>
      <w:r>
        <w:rPr>
          <w:rFonts w:ascii="Times New Roman"/>
          <w:b w:val="false"/>
          <w:i w:val="false"/>
          <w:color w:val="000000"/>
          <w:sz w:val="24"/>
          <w:lang w:val="ro-RO"/>
        </w:rPr>
        <w:t>- suma puterilor active instalate, specificate în CfR sau ATR, calculate pe direcţie pozitivă, respectiv negativă, în funcţie de caracterul generator/consumator al unităţilor generatoare, al locurilor de consum cu consum comandabil şi al instalaţiilor de stocare care compun o UFR, respectiv un GFR calificat/calificată pe baza calificării individuale a unităţilor generatoare/locurilor de consum cu consum comandabil/instalaţiilor de stocare componente;</w:t>
      </w:r>
    </w:p>
    <w:p>
      <w:pPr>
        <w:spacing w:before="26" w:after="0"/>
        <w:ind w:left="373"/>
        <w:jc w:val="left"/>
        <w:textAlignment w:val="auto"/>
      </w:pPr>
      <w:r>
        <w:rPr>
          <w:rFonts w:ascii="Times New Roman"/>
          <w:b w:val="false"/>
          <w:i w:val="false"/>
          <w:color w:val="000000"/>
          <w:sz w:val="24"/>
          <w:lang w:val="ro-RO"/>
        </w:rPr>
        <w:t>- suma puterilor active instalate specificate în CfR sau ATR, calculate pe direcţie pozitivă, respectiv negativă, în funcţie de caracterul generator/consumator al unităţilor generatoare, al locurilor de consum cu consum comandabil şi al instalaţiilor de stocare care compun o UFR, respectiv un GFR calificată/calificat pe baza ansamblului unităţilor generatoare/locurilor de consum cu consum comandabil/instalaţiilor de stocare componente;</w:t>
      </w:r>
    </w:p>
    <w:p>
      <w:pPr>
        <w:spacing w:before="26" w:after="0"/>
        <w:ind w:left="373"/>
        <w:jc w:val="left"/>
        <w:textAlignment w:val="auto"/>
      </w:pPr>
      <w:r>
        <w:rPr>
          <w:rFonts w:ascii="Times New Roman"/>
          <w:b w:val="false"/>
          <w:i w:val="false"/>
          <w:color w:val="000000"/>
          <w:sz w:val="24"/>
          <w:lang w:val="ro-RO"/>
        </w:rPr>
        <w:t>-- DeltaP - puterea activă, activată în timpul de 12,5 minute reprezentând valoarea RRFm;</w:t>
      </w:r>
    </w:p>
    <w:p>
      <w:pPr>
        <w:spacing w:before="26" w:after="0"/>
        <w:ind w:left="373"/>
        <w:jc w:val="left"/>
        <w:textAlignment w:val="auto"/>
      </w:pPr>
      <w:r>
        <w:rPr>
          <w:rFonts w:ascii="Times New Roman"/>
          <w:b w:val="false"/>
          <w:i w:val="false"/>
          <w:color w:val="000000"/>
          <w:sz w:val="24"/>
          <w:lang w:val="ro-RO"/>
        </w:rPr>
        <w:t>-- t</w:t>
      </w:r>
      <w:r>
        <w:rPr>
          <w:rFonts w:ascii="Times New Roman"/>
          <w:b w:val="false"/>
          <w:i w:val="false"/>
          <w:color w:val="000000"/>
          <w:sz w:val="24"/>
          <w:vertAlign w:val="subscript"/>
          <w:lang w:val="ro-RO"/>
        </w:rPr>
        <w:t>0</w:t>
      </w:r>
      <w:r>
        <w:rPr>
          <w:rFonts w:ascii="Times New Roman"/>
          <w:b w:val="false"/>
          <w:i w:val="false"/>
          <w:color w:val="000000"/>
          <w:sz w:val="24"/>
          <w:lang w:val="ro-RO"/>
        </w:rPr>
        <w:t xml:space="preserve"> - timpul de solicitare a activării RRFm;</w:t>
      </w:r>
    </w:p>
    <w:p>
      <w:pPr>
        <w:spacing w:before="26" w:after="0"/>
        <w:ind w:left="373"/>
        <w:jc w:val="left"/>
        <w:textAlignment w:val="auto"/>
      </w:pPr>
      <w:r>
        <w:rPr>
          <w:rFonts w:ascii="Times New Roman"/>
          <w:b w:val="false"/>
          <w:i w:val="false"/>
          <w:color w:val="000000"/>
          <w:sz w:val="24"/>
          <w:lang w:val="ro-RO"/>
        </w:rPr>
        <w:t>-- t</w:t>
      </w:r>
      <w:r>
        <w:rPr>
          <w:rFonts w:ascii="Times New Roman"/>
          <w:b w:val="false"/>
          <w:i w:val="false"/>
          <w:color w:val="000000"/>
          <w:sz w:val="24"/>
          <w:vertAlign w:val="subscript"/>
          <w:lang w:val="ro-RO"/>
        </w:rPr>
        <w:t>1</w:t>
      </w:r>
      <w:r>
        <w:rPr>
          <w:rFonts w:ascii="Times New Roman"/>
          <w:b w:val="false"/>
          <w:i w:val="false"/>
          <w:color w:val="000000"/>
          <w:sz w:val="24"/>
          <w:lang w:val="ro-RO"/>
        </w:rPr>
        <w:t xml:space="preserve"> - întârzierea iniţială denumită timpul de pregătire având valoare specifică structurii de UFR/GFR (specifică tipului de unităţi generatoare/locuri de consum cu consum comandabil/instalaţii de stocare componente conţinute) şi îndeplinind condiţia t1 + t2 &lt; = 12,5 minute;</w:t>
      </w:r>
    </w:p>
    <w:p>
      <w:pPr>
        <w:spacing w:before="26" w:after="0"/>
        <w:ind w:left="373"/>
        <w:jc w:val="left"/>
        <w:textAlignment w:val="auto"/>
      </w:pPr>
      <w:r>
        <w:rPr>
          <w:rFonts w:ascii="Times New Roman"/>
          <w:b w:val="false"/>
          <w:i w:val="false"/>
          <w:color w:val="000000"/>
          <w:sz w:val="24"/>
          <w:lang w:val="ro-RO"/>
        </w:rPr>
        <w:t>-- t</w:t>
      </w:r>
      <w:r>
        <w:rPr>
          <w:rFonts w:ascii="Times New Roman"/>
          <w:b w:val="false"/>
          <w:i w:val="false"/>
          <w:color w:val="000000"/>
          <w:sz w:val="24"/>
          <w:vertAlign w:val="subscript"/>
          <w:lang w:val="ro-RO"/>
        </w:rPr>
        <w:t>2</w:t>
      </w:r>
      <w:r>
        <w:rPr>
          <w:rFonts w:ascii="Times New Roman"/>
          <w:b w:val="false"/>
          <w:i w:val="false"/>
          <w:color w:val="000000"/>
          <w:sz w:val="24"/>
          <w:lang w:val="ro-RO"/>
        </w:rPr>
        <w:t xml:space="preserve"> - timpul de variaţie a puterii;</w:t>
      </w:r>
    </w:p>
    <w:p>
      <w:pPr>
        <w:spacing w:before="26" w:after="0"/>
        <w:ind w:left="373"/>
        <w:jc w:val="left"/>
        <w:textAlignment w:val="auto"/>
      </w:pPr>
      <w:r>
        <w:rPr>
          <w:rFonts w:ascii="Times New Roman"/>
          <w:b w:val="false"/>
          <w:i w:val="false"/>
          <w:color w:val="000000"/>
          <w:sz w:val="24"/>
          <w:lang w:val="ro-RO"/>
        </w:rPr>
        <w:t>-- t</w:t>
      </w:r>
      <w:r>
        <w:rPr>
          <w:rFonts w:ascii="Times New Roman"/>
          <w:b w:val="false"/>
          <w:i w:val="false"/>
          <w:color w:val="000000"/>
          <w:sz w:val="24"/>
          <w:vertAlign w:val="subscript"/>
          <w:lang w:val="ro-RO"/>
        </w:rPr>
        <w:t>3</w:t>
      </w:r>
      <w:r>
        <w:rPr>
          <w:rFonts w:ascii="Times New Roman"/>
          <w:b w:val="false"/>
          <w:i w:val="false"/>
          <w:color w:val="000000"/>
          <w:sz w:val="24"/>
          <w:lang w:val="ro-RO"/>
        </w:rPr>
        <w:t xml:space="preserve"> - timpul de activare completă (TAC) de maximum 12,5 minute;</w:t>
      </w:r>
    </w:p>
    <w:p>
      <w:pPr>
        <w:spacing w:before="26" w:after="0"/>
        <w:ind w:left="373"/>
        <w:jc w:val="left"/>
        <w:textAlignment w:val="auto"/>
      </w:pPr>
      <w:r>
        <w:rPr>
          <w:rFonts w:ascii="Times New Roman"/>
          <w:b w:val="false"/>
          <w:i w:val="false"/>
          <w:color w:val="000000"/>
          <w:sz w:val="24"/>
          <w:lang w:val="ro-RO"/>
        </w:rPr>
        <w:t>-- t</w:t>
      </w:r>
      <w:r>
        <w:rPr>
          <w:rFonts w:ascii="Times New Roman"/>
          <w:b w:val="false"/>
          <w:i w:val="false"/>
          <w:color w:val="000000"/>
          <w:sz w:val="24"/>
          <w:vertAlign w:val="subscript"/>
          <w:lang w:val="ro-RO"/>
        </w:rPr>
        <w:t>l</w:t>
      </w:r>
      <w:r>
        <w:rPr>
          <w:rFonts w:ascii="Times New Roman"/>
          <w:b w:val="false"/>
          <w:i w:val="false"/>
          <w:color w:val="000000"/>
          <w:sz w:val="24"/>
          <w:lang w:val="ro-RO"/>
        </w:rPr>
        <w:t xml:space="preserve"> - timpul de livrare de minimum 5 minute;</w:t>
      </w:r>
    </w:p>
    <w:p>
      <w:pPr>
        <w:spacing w:before="26" w:after="0"/>
        <w:ind w:left="373"/>
        <w:jc w:val="left"/>
        <w:textAlignment w:val="auto"/>
      </w:pPr>
      <w:r>
        <w:rPr>
          <w:rFonts w:ascii="Times New Roman"/>
          <w:b w:val="false"/>
          <w:i w:val="false"/>
          <w:color w:val="000000"/>
          <w:sz w:val="24"/>
          <w:lang w:val="ro-RO"/>
        </w:rPr>
        <w:t>-- t</w:t>
      </w:r>
      <w:r>
        <w:rPr>
          <w:rFonts w:ascii="Times New Roman"/>
          <w:b w:val="false"/>
          <w:i w:val="false"/>
          <w:color w:val="000000"/>
          <w:sz w:val="24"/>
          <w:vertAlign w:val="subscript"/>
          <w:lang w:val="ro-RO"/>
        </w:rPr>
        <w:t>d</w:t>
      </w:r>
      <w:r>
        <w:rPr>
          <w:rFonts w:ascii="Times New Roman"/>
          <w:b w:val="false"/>
          <w:i w:val="false"/>
          <w:color w:val="000000"/>
          <w:sz w:val="24"/>
          <w:lang w:val="ro-RO"/>
        </w:rPr>
        <w:t xml:space="preserve"> - timpul de dezactivare a RRFm;</w:t>
      </w:r>
    </w:p>
    <w:p>
      <w:pPr>
        <w:spacing w:before="26" w:after="0"/>
        <w:ind w:left="373"/>
        <w:jc w:val="left"/>
        <w:textAlignment w:val="auto"/>
      </w:pPr>
      <w:r>
        <w:rPr>
          <w:rFonts w:ascii="Times New Roman"/>
          <w:b w:val="false"/>
          <w:i w:val="false"/>
          <w:color w:val="000000"/>
          <w:sz w:val="24"/>
          <w:lang w:val="ro-RO"/>
        </w:rPr>
        <w:t>-- z - toleranţa la mobilizare a rezervei (în răspunsul în putere activă) de +/-5% din P</w:t>
      </w:r>
      <w:r>
        <w:rPr>
          <w:rFonts w:ascii="Times New Roman"/>
          <w:b w:val="false"/>
          <w:i w:val="false"/>
          <w:color w:val="000000"/>
          <w:sz w:val="24"/>
          <w:vertAlign w:val="subscript"/>
          <w:lang w:val="ro-RO"/>
        </w:rPr>
        <w:t>n</w:t>
      </w:r>
      <w:r>
        <w:rPr>
          <w:rFonts w:ascii="Times New Roman"/>
          <w:b w:val="false"/>
          <w:i w:val="false"/>
          <w:color w:val="000000"/>
          <w:sz w:val="24"/>
          <w:lang w:val="ro-RO"/>
        </w:rPr>
        <w:t xml:space="preserve"> pentru generatoare sincrone, respectiv +/- 5% P</w:t>
      </w:r>
      <w:r>
        <w:rPr>
          <w:rFonts w:ascii="Times New Roman"/>
          <w:b w:val="false"/>
          <w:i w:val="false"/>
          <w:color w:val="000000"/>
          <w:sz w:val="24"/>
          <w:vertAlign w:val="subscript"/>
          <w:lang w:val="ro-RO"/>
        </w:rPr>
        <w:t>max</w:t>
      </w:r>
      <w:r>
        <w:rPr>
          <w:rFonts w:ascii="Times New Roman"/>
          <w:b w:val="false"/>
          <w:i w:val="false"/>
          <w:color w:val="000000"/>
          <w:sz w:val="24"/>
          <w:lang w:val="ro-RO"/>
        </w:rPr>
        <w:t xml:space="preserve"> pentru module generatoare dacă este mai mică de 20 MW, de +/- 2% P</w:t>
      </w:r>
      <w:r>
        <w:rPr>
          <w:rFonts w:ascii="Times New Roman"/>
          <w:b w:val="false"/>
          <w:i w:val="false"/>
          <w:color w:val="000000"/>
          <w:sz w:val="24"/>
          <w:vertAlign w:val="subscript"/>
          <w:lang w:val="ro-RO"/>
        </w:rPr>
        <w:t>n</w:t>
      </w:r>
      <w:r>
        <w:rPr>
          <w:rFonts w:ascii="Times New Roman"/>
          <w:b w:val="false"/>
          <w:i w:val="false"/>
          <w:color w:val="000000"/>
          <w:sz w:val="24"/>
          <w:lang w:val="ro-RO"/>
        </w:rPr>
        <w:t xml:space="preserve"> sau +/- 2% P</w:t>
      </w:r>
      <w:r>
        <w:rPr>
          <w:rFonts w:ascii="Times New Roman"/>
          <w:b w:val="false"/>
          <w:i w:val="false"/>
          <w:color w:val="000000"/>
          <w:sz w:val="24"/>
          <w:vertAlign w:val="subscript"/>
          <w:lang w:val="ro-RO"/>
        </w:rPr>
        <w:t>max</w:t>
      </w:r>
      <w:r>
        <w:rPr>
          <w:rFonts w:ascii="Times New Roman"/>
          <w:b w:val="false"/>
          <w:i w:val="false"/>
          <w:color w:val="000000"/>
          <w:sz w:val="24"/>
          <w:lang w:val="ro-RO"/>
        </w:rPr>
        <w:t xml:space="preserve"> dacă este mai mare şi egală cu 20 MW şi mai mică de 100 MW şi +/- 1% P</w:t>
      </w:r>
      <w:r>
        <w:rPr>
          <w:rFonts w:ascii="Times New Roman"/>
          <w:b w:val="false"/>
          <w:i w:val="false"/>
          <w:color w:val="000000"/>
          <w:sz w:val="24"/>
          <w:vertAlign w:val="subscript"/>
          <w:lang w:val="ro-RO"/>
        </w:rPr>
        <w:t>n</w:t>
      </w:r>
      <w:r>
        <w:rPr>
          <w:rFonts w:ascii="Times New Roman"/>
          <w:b w:val="false"/>
          <w:i w:val="false"/>
          <w:color w:val="000000"/>
          <w:sz w:val="24"/>
          <w:lang w:val="ro-RO"/>
        </w:rPr>
        <w:t xml:space="preserve"> sau +/- 1% P</w:t>
      </w:r>
      <w:r>
        <w:rPr>
          <w:rFonts w:ascii="Times New Roman"/>
          <w:b w:val="false"/>
          <w:i w:val="false"/>
          <w:color w:val="000000"/>
          <w:sz w:val="24"/>
          <w:vertAlign w:val="subscript"/>
          <w:lang w:val="ro-RO"/>
        </w:rPr>
        <w:t>max</w:t>
      </w:r>
      <w:r>
        <w:rPr>
          <w:rFonts w:ascii="Times New Roman"/>
          <w:b w:val="false"/>
          <w:i w:val="false"/>
          <w:color w:val="000000"/>
          <w:sz w:val="24"/>
          <w:lang w:val="ro-RO"/>
        </w:rPr>
        <w:t xml:space="preserve"> dacă este mai mare sau egală cu 100 MW.</w:t>
      </w:r>
    </w:p>
    <w:p>
      <w:pPr>
        <w:spacing w:before="26" w:after="0"/>
        <w:ind w:left="373"/>
        <w:jc w:val="left"/>
        <w:textAlignment w:val="auto"/>
      </w:pPr>
      <w:r>
        <w:rPr>
          <w:rFonts w:ascii="Times New Roman"/>
          <w:b w:val="false"/>
          <w:i w:val="false"/>
          <w:color w:val="000000"/>
          <w:sz w:val="24"/>
          <w:lang w:val="ro-RO"/>
        </w:rPr>
        <w:t>Tabelul nr. 2 - Parametrii caracteristici standard şi valorile lor pentru RRFm</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290"/>
        <w:gridCol w:w="8004"/>
      </w:tblGrid>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Modul de activare</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Manual</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Timpul de pregătire</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valoare specifică structurii de UFR/GFR (specifică tipului de unităţi generatoare/locuri de consum cu consum comandabil/instalaţii de stocare componente conţinute), cu condiţia ca suma dintre timpul de pregătire şi timpul de variaţie a puterii &lt; = 12,5 minute</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Timpul de variaţie a puterii</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&lt; = 12,5 minute, cu respectarea condiţiei ca suma dintre timpul de pregătire şi timpul de variaţie a puterii &lt; = 12,5 minute</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Timpul de activare completă (TAC)</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12,5 minute</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Timpul de dezactivare</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&lt; = 12,5 minute</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Valoarea minimă a RRFm</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1 MW</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Granularitatea</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1 MW</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Valoarea maximă a RRFm</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9999 MW</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Timpul minim de livrare</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5 minute</w:t>
            </w:r>
          </w:p>
        </w:tc>
      </w:tr>
      <w:tr>
        <w:trPr>
          <w:trHeight w:val="45" w:hRule="atLeast"/>
        </w:trPr>
        <w:tc>
          <w:tcPr>
            <w:tcW w:w="6290" w:type="dxa"/>
            <w:vMerge w:val="restart"/>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Durata maximă de livrare a cantităţii maxime cerute</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15 minute pentru activare programată</w:t>
            </w:r>
          </w:p>
        </w:tc>
      </w:tr>
      <w:tr>
        <w:trPr>
          <w:trHeight w:val="45" w:hRule="atLeast"/>
        </w:trPr>
        <w:tc>
          <w:tcPr>
            <w:tcW w:w="0" w:type="auto"/>
            <w:vMerge/>
            <w:tcBorders>
              <w:top w:val="nil"/>
              <w:bottom w:val="single" w:color="000000" w:sz="8"/>
              <w:right w:val="single" w:color="000000" w:sz="8"/>
            </w:tcBorders>
          </w:tcP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30 minute pentru activare directă</w:t>
            </w:r>
          </w:p>
        </w:tc>
      </w:tr>
      <w:tr>
        <w:trPr>
          <w:trHeight w:val="45" w:hRule="atLeast"/>
        </w:trPr>
        <w:tc>
          <w:tcPr>
            <w:tcW w:w="6290"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Timpul minim între o dezactivare şi o activare succesivă</w:t>
            </w:r>
          </w:p>
        </w:tc>
        <w:tc>
          <w:tcPr>
            <w:tcW w:w="8004" w:type="dxa"/>
            <w:tcBorders>
              <w:bottom w:val="single" w:color="000000" w:sz="8"/>
              <w:right w:val="single" w:color="000000" w:sz="8"/>
            </w:tcBorders>
            <w:tcMar>
              <w:top w:w="15" w:type="dxa"/>
              <w:left w:w="15" w:type="dxa"/>
              <w:bottom w:w="15" w:type="dxa"/>
              <w:right w:w="15" w:type="dxa"/>
            </w:tcMar>
            <w:vAlign w:val="top"/>
          </w:tcPr>
          <w:p>
            <w:pPr>
              <w:spacing w:before="25" w:after="0"/>
              <w:ind w:left="106"/>
              <w:jc w:val="left"/>
              <w:textAlignment w:val="auto"/>
            </w:pPr>
            <w:r>
              <w:rPr>
                <w:rFonts w:ascii="Times New Roman"/>
                <w:b w:val="false"/>
                <w:i w:val="false"/>
                <w:color w:val="000000"/>
                <w:sz w:val="24"/>
                <w:lang w:val="ro-RO"/>
              </w:rPr>
              <w:t>Determinată de către FSE</w:t>
            </w:r>
          </w:p>
        </w:tc>
      </w:tr>
    </w:tbl>
    <w:p>
      <w:pPr>
        <w:spacing w:before="26" w:after="0"/>
        <w:ind w:left="373"/>
        <w:jc w:val="left"/>
        <w:textAlignment w:val="auto"/>
      </w:pPr>
      <w:r>
        <w:rPr>
          <w:rFonts w:ascii="Times New Roman"/>
          <w:b w:val="false"/>
          <w:i w:val="false"/>
          <w:color w:val="000000"/>
          <w:sz w:val="24"/>
          <w:lang w:val="ro-RO"/>
        </w:rPr>
        <w:t>...................................................................................................................</w:t>
      </w:r>
    </w:p>
    <w:p>
      <w:pPr>
        <w:spacing w:before="26" w:after="0"/>
        <w:ind w:left="373"/>
        <w:jc w:val="left"/>
        <w:textAlignment w:val="auto"/>
      </w:pPr>
      <w:r>
        <w:rPr>
          <w:rFonts w:ascii="Times New Roman"/>
          <w:b w:val="false"/>
          <w:i w:val="false"/>
          <w:color w:val="000000"/>
          <w:sz w:val="24"/>
          <w:lang w:val="ro-RO"/>
        </w:rPr>
        <w:t>d) UFR, respectiv GFR care furnizează RRFm poate să aibă o întârziere (t1) în activarea rezervei care trebuie să îndeplinească condiţia ca însumată cu timpul de variaţie a sarcinii (t2) să fie mai mică sau egală cu valoarea de 12,5 minute (valoarea timpului de activare completă)."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Operatorii economici din sectorul energiei electrice duc la îndeplinire prevederile prezentului ordin.</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În perioada cuprinsă între data intrării în vigoare şi data aplicării prezentului ordin, Compania Naţională de Transport al Energiei Electrice "Transelectrica" - S.A. transmite cel târziu până în ziua a 10-a a fiecărei luni Autorităţii Naţionale de Reglementare în Domeniul Energiei un raport privind stadiul evoluţiei procesului de implementare a prezentului ordin.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 </w:t>
      </w:r>
    </w:p>
    <w:p>
      <w:pPr>
        <w:spacing w:after="0"/>
        <w:ind w:left="0"/>
        <w:jc w:val="left"/>
        <w:textAlignment w:val="auto"/>
      </w:pPr>
      <w:r>
        <w:rPr>
          <w:rFonts w:ascii="Times New Roman"/>
          <w:b w:val="false"/>
          <w:i w:val="false"/>
          <w:color w:val="000000"/>
          <w:sz w:val="24"/>
          <w:lang w:val="ro-RO"/>
        </w:rPr>
        <w:t>Direcţiile de specialitate din cadrul Autorităţii Naţionale de Reglementare în Domeniul Energiei urmăresc respectarea prevederilor prezentului ordin.</w:t>
      </w:r>
    </w:p>
    <w:p>
      <w:pPr>
        <w:spacing w:before="80" w:after="0"/>
        <w:ind w:left="0"/>
        <w:jc w:val="left"/>
        <w:textAlignment w:val="auto"/>
      </w:pPr>
      <w:r>
        <w:rPr>
          <w:rFonts w:ascii="Times New Roman"/>
          <w:b/>
          <w:i w:val="false"/>
          <w:color w:val="000000"/>
          <w:sz w:val="24"/>
          <w:lang w:val="ro-RO"/>
        </w:rPr>
        <w:t xml:space="preserve">Art. 7 </w:t>
      </w:r>
    </w:p>
    <w:p>
      <w:pPr>
        <w:spacing w:before="26"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Prezentul ordin se publică în Monitorul Oficial al României, Partea I, intră în vigoare la data publicării şi se aplică de la 1 iulie 2024, cu excepţia art. 3 şi 4, care se aplică de la data intrării în vigoare.</w:t>
      </w:r>
      <w:r>
        <w:br/>
      </w:r>
    </w:p>
    <w:p>
      <w:pPr>
        <w:spacing w:before="26" w:after="0"/>
        <w:ind w:left="0"/>
        <w:jc w:val="left"/>
        <w:textAlignment w:val="auto"/>
      </w:pPr>
      <w:r>
        <w:rPr>
          <w:rFonts w:ascii="Times New Roman"/>
          <w:b w:val="false"/>
          <w:i w:val="false"/>
          <w:color w:val="000000"/>
          <w:sz w:val="24"/>
          <w:lang w:val="ro-RO"/>
        </w:rPr>
        <w:t>(2)</w:t>
      </w:r>
      <w:r>
        <w:rPr>
          <w:rFonts w:ascii="Times New Roman"/>
          <w:b/>
          <w:i w:val="false"/>
          <w:color w:val="000000"/>
          <w:sz w:val="24"/>
          <w:lang w:val="ro-RO"/>
        </w:rPr>
        <w:t>La data de 1 iulie 2024 se abrogă: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 xml:space="preserve">articolele 1-3, 6, 9 şi 15 din Ordinul preşedintelui Autorităţii Naţionale de Reglementare în Domeniul Energiei nr. </w:t>
      </w:r>
      <w:r>
        <w:rPr>
          <w:rFonts w:ascii="Times New Roman"/>
          <w:b w:val="false"/>
          <w:i w:val="false"/>
          <w:color w:val="1b1b1b"/>
          <w:sz w:val="24"/>
          <w:lang w:val="ro-RO"/>
        </w:rPr>
        <w:t>213/2020</w:t>
      </w:r>
      <w:r>
        <w:rPr>
          <w:rFonts w:ascii="Times New Roman"/>
          <w:b w:val="false"/>
          <w:i w:val="false"/>
          <w:color w:val="000000"/>
          <w:sz w:val="24"/>
          <w:lang w:val="ro-RO"/>
        </w:rPr>
        <w:t xml:space="preserve"> pentru aprobarea Regulamentului de calcul şi de decontare a dezechilibrelor părţilor responsabile cu echilibrarea - preţ unic de dezechilibru şi pentru modificarea unor ordine ale preşedintelui Autorităţii Naţionale de Reglementare în Domeniul Energiei, publicat în Monitorul Oficial al României, Partea I, nr. 1201 şi 1201 bis din 9 decembrie 2020, cu modificările şi completările ulterioare;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 xml:space="preserve">articolele 1-3 şi 8 din Ordinul preşedintelui Autorităţii Naţionale de Reglementare în Domeniul Energiei nr. </w:t>
      </w:r>
      <w:r>
        <w:rPr>
          <w:rFonts w:ascii="Times New Roman"/>
          <w:b w:val="false"/>
          <w:i w:val="false"/>
          <w:color w:val="1b1b1b"/>
          <w:sz w:val="24"/>
          <w:lang w:val="ro-RO"/>
        </w:rPr>
        <w:t>152/2020</w:t>
      </w:r>
      <w:r>
        <w:rPr>
          <w:rFonts w:ascii="Times New Roman"/>
          <w:b w:val="false"/>
          <w:i w:val="false"/>
          <w:color w:val="000000"/>
          <w:sz w:val="24"/>
          <w:lang w:val="ro-RO"/>
        </w:rPr>
        <w:t xml:space="preserve"> pentru aprobarea regulilor de compensare financiară a resurselor dispecerizabile angajate în scopul redispecerizării sau comercializării în contrapartidă coordonată care nu se bazează pe piaţă şi pentru modificarea unor reguli din domeniul energiei electrice, publicat în Monitorul Oficial al României, Partea I, nr. 779 din 26 august 2020, cu modificările ulterioare;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 xml:space="preserve">Ordinul preşedintelui Autorităţii Naţionale de Reglementare în Domeniul Energiei nr. </w:t>
      </w:r>
      <w:r>
        <w:rPr>
          <w:rFonts w:ascii="Times New Roman"/>
          <w:b w:val="false"/>
          <w:i w:val="false"/>
          <w:color w:val="1b1b1b"/>
          <w:sz w:val="24"/>
          <w:lang w:val="ro-RO"/>
        </w:rPr>
        <w:t>61/2020</w:t>
      </w:r>
      <w:r>
        <w:rPr>
          <w:rFonts w:ascii="Times New Roman"/>
          <w:b w:val="false"/>
          <w:i w:val="false"/>
          <w:color w:val="000000"/>
          <w:sz w:val="24"/>
          <w:lang w:val="ro-RO"/>
        </w:rPr>
        <w:t xml:space="preserve"> pentru aprobarea </w:t>
      </w:r>
      <w:r>
        <w:rPr>
          <w:rFonts w:ascii="Times New Roman"/>
          <w:b w:val="false"/>
          <w:i w:val="false"/>
          <w:color w:val="1b1b1b"/>
          <w:sz w:val="24"/>
          <w:lang w:val="ro-RO"/>
        </w:rPr>
        <w:t>Regulamentului de programare a unităţilor de producţie dispecerizabile, a consumatorilor dispecerizabili şi a instalaţiilor de stocare dispecerizabile, a Regulamentului de funcţionare şi de decontare a pieţei de echilibrare</w:t>
      </w:r>
      <w:r>
        <w:rPr>
          <w:rFonts w:ascii="Times New Roman"/>
          <w:b w:val="false"/>
          <w:i w:val="false"/>
          <w:color w:val="000000"/>
          <w:sz w:val="24"/>
          <w:lang w:val="ro-RO"/>
        </w:rPr>
        <w:t xml:space="preserve"> şi a </w:t>
      </w:r>
      <w:r>
        <w:rPr>
          <w:rFonts w:ascii="Times New Roman"/>
          <w:b w:val="false"/>
          <w:i w:val="false"/>
          <w:color w:val="1b1b1b"/>
          <w:sz w:val="24"/>
          <w:lang w:val="ro-RO"/>
        </w:rPr>
        <w:t>Regulamentului de calcul şi de decontare a dezechilibrelor părţilor responsabile cu echilibrarea</w:t>
      </w:r>
      <w:r>
        <w:rPr>
          <w:rFonts w:ascii="Times New Roman"/>
          <w:b w:val="false"/>
          <w:i w:val="false"/>
          <w:color w:val="000000"/>
          <w:sz w:val="24"/>
          <w:lang w:val="ro-RO"/>
        </w:rPr>
        <w:t>, publicat în Monitorul Oficial al României, Partea I, nr. 287 şi 287 bis din 6 aprilie 2020, cu modificările şi completările ulterioare;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 xml:space="preserve">Ordinul preşedintelui Autorităţii Naţionale de Reglementare în Domeniul Energiei nr. </w:t>
      </w:r>
      <w:r>
        <w:rPr>
          <w:rFonts w:ascii="Times New Roman"/>
          <w:b w:val="false"/>
          <w:i w:val="false"/>
          <w:color w:val="1b1b1b"/>
          <w:sz w:val="24"/>
          <w:lang w:val="ro-RO"/>
        </w:rPr>
        <w:t>21/2007</w:t>
      </w:r>
      <w:r>
        <w:rPr>
          <w:rFonts w:ascii="Times New Roman"/>
          <w:b w:val="false"/>
          <w:i w:val="false"/>
          <w:color w:val="000000"/>
          <w:sz w:val="24"/>
          <w:lang w:val="ro-RO"/>
        </w:rPr>
        <w:t xml:space="preserve"> privind aprobarea </w:t>
      </w:r>
      <w:r>
        <w:rPr>
          <w:rFonts w:ascii="Times New Roman"/>
          <w:b w:val="false"/>
          <w:i w:val="false"/>
          <w:color w:val="1b1b1b"/>
          <w:sz w:val="24"/>
          <w:lang w:val="ro-RO"/>
        </w:rPr>
        <w:t>Contractului-cadru de vânzare-cumpărare a serviciilor tehnologice de sistem între [furnizorul de servicii tehnologice de sistem] şi operatorul de transport şi de sistem</w:t>
      </w:r>
      <w:r>
        <w:rPr>
          <w:rFonts w:ascii="Times New Roman"/>
          <w:b w:val="false"/>
          <w:i w:val="false"/>
          <w:color w:val="000000"/>
          <w:sz w:val="24"/>
          <w:lang w:val="ro-RO"/>
        </w:rPr>
        <w:t>, publicat în Monitorul Oficial al României, Partea I, nr. 520 din 1 august 2007, cu modificările şi completările ulterioare.</w:t>
      </w:r>
      <w:r>
        <w:br/>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Prin derogare de la prevederile alin. (1), prevederile capitolului VII din anexa nr. 1 se aplică de la data de 1 septembrie 2024.</w:t>
      </w:r>
    </w:p>
    <w:p>
      <w:pPr>
        <w:spacing w:before="26" w:after="0"/>
        <w:ind w:left="0"/>
        <w:jc w:val="left"/>
        <w:textAlignment w:val="auto"/>
      </w:pPr>
      <w:r>
        <w:rPr>
          <w:rFonts w:ascii="Times New Roman"/>
          <w:b w:val="false"/>
          <w:i w:val="false"/>
          <w:color w:val="000000"/>
          <w:sz w:val="24"/>
          <w:lang w:val="ro-RO"/>
        </w:rPr>
        <w:t>(4)</w:t>
      </w:r>
      <w:r>
        <w:rPr>
          <w:rFonts w:ascii="Times New Roman"/>
          <w:b w:val="false"/>
          <w:i w:val="false"/>
          <w:color w:val="000000"/>
          <w:sz w:val="24"/>
          <w:lang w:val="ro-RO"/>
        </w:rPr>
        <w:t>Prin derogare de la prevederile alin. (1), prevederile capitolului IX din anexa nr. 1 se aplică de la data de 1 iunie 2025.</w:t>
      </w:r>
      <w:r>
        <w:br/>
      </w:r>
    </w:p>
    <w:p>
      <w:pPr>
        <w:spacing w:before="26" w:after="240"/>
        <w:ind w:left="0"/>
        <w:jc w:val="left"/>
        <w:textAlignment w:val="auto"/>
      </w:pPr>
      <w:r>
        <w:rPr>
          <w:rFonts w:ascii="Times New Roman"/>
          <w:b w:val="false"/>
          <w:i w:val="false"/>
          <w:color w:val="000000"/>
          <w:sz w:val="24"/>
          <w:lang w:val="ro-RO"/>
        </w:rPr>
        <w:t>-****-</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580"/>
      </w:tblGrid>
      <w:tr>
        <w:trPr>
          <w:trHeight w:val="45" w:hRule="atLeast"/>
        </w:trPr>
        <w:tc>
          <w:tcPr>
            <w:tcW w:w="1058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Preşedintele Autorităţii Naţionale de Reglementare în Domeniul Energiei,</w:t>
            </w:r>
          </w:p>
          <w:p>
            <w:pPr>
              <w:spacing w:before="25" w:after="0"/>
              <w:ind w:left="0"/>
              <w:jc w:val="left"/>
              <w:textAlignment w:val="auto"/>
            </w:pPr>
            <w:r>
              <w:rPr>
                <w:rFonts w:ascii="Times New Roman"/>
                <w:b/>
                <w:i w:val="false"/>
                <w:color w:val="000000"/>
                <w:sz w:val="24"/>
                <w:lang w:val="ro-RO"/>
              </w:rPr>
              <w:t>Dumitru Chiriţă</w:t>
            </w:r>
          </w:p>
        </w:tc>
      </w:tr>
    </w:tbl>
    <w:p>
      <w:pPr>
        <w:spacing w:after="0"/>
        <w:ind w:left="0"/>
        <w:jc w:val="left"/>
        <w:textAlignment w:val="auto"/>
      </w:pPr>
    </w:p>
    <w:p>
      <w:pPr>
        <w:spacing w:before="80" w:after="0"/>
        <w:ind w:left="0"/>
        <w:jc w:val="center"/>
        <w:textAlignment w:val="auto"/>
      </w:pPr>
      <w:r>
        <w:rPr>
          <w:rFonts w:ascii="Times New Roman"/>
          <w:b/>
          <w:i w:val="false"/>
          <w:color w:val="000000"/>
          <w:sz w:val="24"/>
          <w:lang w:val="ro-RO"/>
        </w:rPr>
        <w:t>ANEXA nr. 1:</w:t>
      </w:r>
    </w:p>
    <w:p>
      <w:pPr>
        <w:spacing w:before="26" w:after="240"/>
        <w:ind w:left="0"/>
        <w:jc w:val="left"/>
        <w:textAlignment w:val="auto"/>
      </w:pPr>
      <w:r>
        <w:rPr>
          <w:rFonts w:ascii="Times New Roman"/>
          <w:b w:val="false"/>
          <w:i w:val="false"/>
          <w:color w:val="1b1b1b"/>
          <w:sz w:val="24"/>
          <w:lang w:val="ro-RO"/>
        </w:rPr>
        <w:t>REGULAMENT privind clauzele şi condiţiile pentru furnizorii de servicii de echilibrare şi pentru furnizorii de rezervă de stabilizare a frecvenţei</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ANEXA nr. 2:</w:t>
      </w:r>
    </w:p>
    <w:p>
      <w:pPr>
        <w:spacing w:before="26" w:after="240"/>
        <w:ind w:left="0"/>
        <w:jc w:val="left"/>
        <w:textAlignment w:val="auto"/>
      </w:pPr>
      <w:r>
        <w:rPr>
          <w:rFonts w:ascii="Times New Roman"/>
          <w:b w:val="false"/>
          <w:i w:val="false"/>
          <w:color w:val="1b1b1b"/>
          <w:sz w:val="24"/>
          <w:lang w:val="ro-RO"/>
        </w:rPr>
        <w:t>REGULAMENT privind clauzele şi condiţiile pentru părţile responsabile cu echilibrarea</w:t>
      </w:r>
    </w:p>
    <w:p>
      <w:pPr>
        <w:spacing w:before="26" w:after="240"/>
        <w:ind w:left="0"/>
        <w:jc w:val="left"/>
        <w:textAlignment w:val="auto"/>
      </w:pPr>
      <w:r>
        <w:rPr>
          <w:rFonts w:ascii="Times New Roman"/>
          <w:b w:val="false"/>
          <w:i w:val="false"/>
          <w:color w:val="000000"/>
          <w:sz w:val="24"/>
          <w:lang w:val="ro-RO"/>
        </w:rPr>
        <w:t>Publicat în Monitorul Oficial cu numărul 1196 din data de 17 decembrie 2021</w:t>
      </w:r>
    </w:p>
    <w:sectPr>
      <w:headerReference w:type="default" r:id="rId4"/>
      <w:pgSz w:w="11907" w:h="16839" w:code="9"/>
      <w:pgMar w:top="1440" w:right="1440" w:bottom="1440" w:left="1440"/>
    </w:sectPr>
  </w:body>
</w:document>
</file>

<file path=word/header.xml><?xml version="1.0" encoding="utf-8"?>
<w:hdr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tbl>
    <w:tblPr>
      <w:tblBorders>
        <w:bottom w:val="single" w:color="FFFFFF" w:space="800"/>
      </w:tblBorders>
    </w:tblPr>
    <w:tblGrid>
      <w:gridCol w:w="4513"/>
      <w:gridCol w:w="4513"/>
    </w:tblGrid>
    <w:tr>
      <w:trPr>
        <w:trHeight w:val="2000" w:hRule="exact"/>
      </w:trPr>
      <w:tc>
        <w:tcPr>
          <w:tcW w:w="4513" w:type="dxa"/>
        </w:tcPr>
        <w:p/>
        <w:p>
          <w:r>
            <w:drawing>
              <wp:inline distT="0" distB="0" distL="0" distR="0">
                <wp:extent cx="1250000" cy="350000"/>
                <wp:effectExtent l="0" t="0" r="0" b="0"/>
                <wp:docPr id="1" name="logo" descr="logo"/>
                <wp:cNvGraphicFramePr>
                  <a:graphicFrameLocks noChangeAspect="true"/>
                </wp:cNvGraphicFramePr>
                <a:graphic>
                  <a:graphicData uri="http://schemas.openxmlformats.org/drawingml/2006/picture">
                    <pic:pic>
                      <pic:nvPicPr>
                        <pic:cNvPr id="2" name="logo"/>
                        <pic:cNvPicPr/>
                      </pic:nvPicPr>
                      <pic:blipFill>
                        <a:blip r:embed="rId1"/>
                        <a:stretch>
                          <a:fillRect/>
                        </a:stretch>
                      </pic:blipFill>
                      <pic:spPr>
                        <a:xfrm>
                          <a:off x="0" y="0"/>
                          <a:ext cx="1250000" cy="350000"/>
                        </a:xfrm>
                        <a:prstGeom prst="rect">
                          <a:avLst/>
                        </a:prstGeom>
                      </pic:spPr>
                    </pic:pic>
                  </a:graphicData>
                </a:graphic>
              </wp:inline>
            </w:drawing>
          </w:r>
        </w:p>
      </w:tc>
      <w:tc>
        <w:tcPr>
          <w:tcW w:w="4513" w:type="dxa"/>
        </w:tcPr>
        <w:p/>
        <w:p>
          <w:pPr>
            <w:jc w:val="right"/>
          </w:pPr>
          <w:r>
            <w:t>29.07.2024</w:t>
          </w:r>
        </w:p>
      </w:tc>
    </w:tr>
  </w:tbl>
</w:hdr>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ro-RO"/>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ro-RO"/>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header.xml" Type="http://schemas.openxmlformats.org/officeDocument/2006/relationships/header" Id="rId4"/>
</Relationships>

</file>

<file path=word/_rels/header.xml.rels><?xml version="1.0" encoding="UTF-8" standalone="yes"?>
<Relationships xmlns="http://schemas.openxmlformats.org/package/2006/relationships">
    <Relationship Target="media/header_image_rId1.png" Type="http://schemas.openxmlformats.org/officeDocument/2006/relationships/image" Id="rId1"/>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